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B0C7F" w14:textId="77FC03E2" w:rsidR="00384A61" w:rsidRPr="005E434B" w:rsidRDefault="00F94D25" w:rsidP="005E434B">
      <w:pPr>
        <w:spacing w:after="120" w:line="288" w:lineRule="auto"/>
        <w:jc w:val="center"/>
        <w:rPr>
          <w:rFonts w:hAnsi="Times New Roman" w:cs="Times New Roman"/>
          <w:b/>
          <w:sz w:val="32"/>
          <w:szCs w:val="32"/>
        </w:rPr>
      </w:pPr>
      <w:r w:rsidRPr="005E434B">
        <w:rPr>
          <w:rFonts w:hAnsi="Times New Roman" w:cs="Times New Roman"/>
          <w:b/>
          <w:sz w:val="32"/>
          <w:szCs w:val="32"/>
        </w:rPr>
        <w:t xml:space="preserve">Nota </w:t>
      </w:r>
      <w:r w:rsidR="00156C76">
        <w:rPr>
          <w:rFonts w:hAnsi="Times New Roman" w:cs="Times New Roman"/>
          <w:b/>
          <w:sz w:val="32"/>
          <w:szCs w:val="32"/>
        </w:rPr>
        <w:t>interpreta</w:t>
      </w:r>
      <w:r w:rsidR="00BE5BFE" w:rsidRPr="005E434B">
        <w:rPr>
          <w:rFonts w:hAnsi="Times New Roman" w:cs="Times New Roman"/>
          <w:b/>
          <w:sz w:val="32"/>
          <w:szCs w:val="32"/>
        </w:rPr>
        <w:t>tiva</w:t>
      </w:r>
    </w:p>
    <w:p w14:paraId="5F5989E4" w14:textId="3FD44759" w:rsidR="00384A61" w:rsidRPr="005E434B" w:rsidRDefault="00384A61" w:rsidP="005E434B">
      <w:pPr>
        <w:spacing w:after="120" w:line="288" w:lineRule="auto"/>
        <w:jc w:val="center"/>
        <w:rPr>
          <w:rFonts w:eastAsia="Arial Bold" w:hAnsi="Times New Roman" w:cs="Times New Roman"/>
          <w:b/>
          <w:sz w:val="32"/>
          <w:szCs w:val="32"/>
        </w:rPr>
      </w:pPr>
      <w:r w:rsidRPr="005E434B">
        <w:rPr>
          <w:rFonts w:hAnsi="Times New Roman" w:cs="Times New Roman"/>
          <w:b/>
          <w:sz w:val="32"/>
          <w:szCs w:val="32"/>
        </w:rPr>
        <w:t>ACCORDO DI PROGRAMMA ex art. 15 d.lgs. 49/2014</w:t>
      </w:r>
    </w:p>
    <w:p w14:paraId="090BD715" w14:textId="77777777" w:rsidR="00384A61" w:rsidRPr="005E434B" w:rsidRDefault="00384A61" w:rsidP="005E434B">
      <w:pPr>
        <w:spacing w:after="120" w:line="288" w:lineRule="auto"/>
        <w:jc w:val="center"/>
        <w:rPr>
          <w:rFonts w:hAnsi="Times New Roman" w:cs="Times New Roman"/>
          <w:b/>
          <w:sz w:val="22"/>
          <w:szCs w:val="22"/>
        </w:rPr>
      </w:pPr>
      <w:r w:rsidRPr="005E434B">
        <w:rPr>
          <w:rFonts w:hAnsi="Times New Roman" w:cs="Times New Roman"/>
          <w:b/>
          <w:sz w:val="22"/>
          <w:szCs w:val="22"/>
        </w:rPr>
        <w:t xml:space="preserve">PER LA DEFINIZIONE DELLE CONDIZIONI GENERALI DI RACCOLTA E GESTIONE </w:t>
      </w:r>
      <w:r w:rsidRPr="005E434B">
        <w:rPr>
          <w:rFonts w:eastAsia="Arial Bold" w:hAnsi="Times New Roman" w:cs="Times New Roman"/>
          <w:b/>
          <w:sz w:val="22"/>
          <w:szCs w:val="22"/>
        </w:rPr>
        <w:br/>
      </w:r>
      <w:r w:rsidRPr="005E434B">
        <w:rPr>
          <w:rFonts w:hAnsi="Times New Roman" w:cs="Times New Roman"/>
          <w:b/>
          <w:sz w:val="22"/>
          <w:szCs w:val="22"/>
        </w:rPr>
        <w:t>DEI RIFIUTI DA APPARECCHIATURE ELETTRICHE ED ELETTRONICHE</w:t>
      </w:r>
    </w:p>
    <w:p w14:paraId="12FBC24C" w14:textId="77777777" w:rsidR="00384A61" w:rsidRPr="005E434B" w:rsidRDefault="00384A61" w:rsidP="005E434B">
      <w:pPr>
        <w:spacing w:after="120" w:line="288" w:lineRule="auto"/>
        <w:jc w:val="both"/>
        <w:rPr>
          <w:rFonts w:hAnsi="Times New Roman" w:cs="Times New Roman"/>
          <w:b/>
          <w:sz w:val="22"/>
          <w:szCs w:val="22"/>
        </w:rPr>
      </w:pPr>
    </w:p>
    <w:p w14:paraId="2EFB9F41" w14:textId="77777777" w:rsidR="00F94D25" w:rsidRPr="005E434B" w:rsidRDefault="00F94D25" w:rsidP="005E434B">
      <w:pPr>
        <w:spacing w:after="120" w:line="288" w:lineRule="auto"/>
        <w:jc w:val="both"/>
        <w:rPr>
          <w:rFonts w:hAnsi="Times New Roman" w:cs="Times New Roman"/>
          <w:b/>
        </w:rPr>
      </w:pPr>
    </w:p>
    <w:p w14:paraId="3640A4C0" w14:textId="0A5A4D43" w:rsidR="00BE5BFE" w:rsidRPr="005E434B" w:rsidRDefault="002B4B84" w:rsidP="005E434B">
      <w:pPr>
        <w:spacing w:after="120" w:line="288" w:lineRule="auto"/>
        <w:jc w:val="both"/>
        <w:rPr>
          <w:rFonts w:hAnsi="Times New Roman" w:cs="Times New Roman"/>
          <w:bCs/>
        </w:rPr>
      </w:pPr>
      <w:r w:rsidRPr="005E434B">
        <w:rPr>
          <w:rFonts w:hAnsi="Times New Roman" w:cs="Times New Roman"/>
          <w:bCs/>
        </w:rPr>
        <w:t xml:space="preserve">Il Comitato Guida di gestione dell’Accordo, </w:t>
      </w:r>
      <w:r w:rsidR="008E5375" w:rsidRPr="005E434B">
        <w:rPr>
          <w:rFonts w:hAnsi="Times New Roman" w:cs="Times New Roman"/>
          <w:bCs/>
        </w:rPr>
        <w:t>per una corretta interpretazione dell’Accordo 2025 – 2027, pubblica le seguenti note</w:t>
      </w:r>
      <w:r w:rsidR="005E434B" w:rsidRPr="005E434B">
        <w:rPr>
          <w:rFonts w:hAnsi="Times New Roman" w:cs="Times New Roman"/>
          <w:bCs/>
        </w:rPr>
        <w:t>:</w:t>
      </w:r>
    </w:p>
    <w:p w14:paraId="1E0F3303" w14:textId="77777777" w:rsidR="00BE5BFE" w:rsidRPr="005E434B" w:rsidRDefault="00BE5BFE" w:rsidP="005E434B">
      <w:pPr>
        <w:spacing w:after="120" w:line="288" w:lineRule="auto"/>
        <w:rPr>
          <w:rFonts w:hAnsi="Times New Roman" w:cs="Times New Roman"/>
          <w:b/>
          <w:bCs/>
        </w:rPr>
      </w:pPr>
    </w:p>
    <w:p w14:paraId="78628017" w14:textId="4A17D4E3" w:rsidR="00BE5BFE" w:rsidRPr="005E434B" w:rsidRDefault="00BE5BFE" w:rsidP="005E434B">
      <w:pPr>
        <w:spacing w:after="120" w:line="288" w:lineRule="auto"/>
        <w:rPr>
          <w:rFonts w:hAnsi="Times New Roman" w:cs="Times New Roman"/>
          <w:b/>
          <w:bCs/>
          <w:u w:val="single"/>
        </w:rPr>
      </w:pPr>
      <w:r w:rsidRPr="005E434B">
        <w:rPr>
          <w:rFonts w:hAnsi="Times New Roman" w:cs="Times New Roman"/>
          <w:b/>
          <w:bCs/>
          <w:u w:val="single"/>
        </w:rPr>
        <w:t xml:space="preserve">NOTA 1 </w:t>
      </w:r>
      <w:r w:rsidR="003A1903" w:rsidRPr="005E434B">
        <w:rPr>
          <w:rFonts w:hAnsi="Times New Roman" w:cs="Times New Roman"/>
          <w:b/>
          <w:bCs/>
          <w:u w:val="single"/>
        </w:rPr>
        <w:t>–</w:t>
      </w:r>
      <w:r w:rsidRPr="005E434B">
        <w:rPr>
          <w:rFonts w:hAnsi="Times New Roman" w:cs="Times New Roman"/>
          <w:b/>
          <w:bCs/>
          <w:u w:val="single"/>
        </w:rPr>
        <w:t xml:space="preserve"> </w:t>
      </w:r>
      <w:r w:rsidR="003A1903" w:rsidRPr="005E434B">
        <w:rPr>
          <w:rFonts w:hAnsi="Times New Roman" w:cs="Times New Roman"/>
          <w:b/>
          <w:bCs/>
          <w:u w:val="single"/>
        </w:rPr>
        <w:t>Chiarimento sulla data di pubblicazione dell</w:t>
      </w:r>
      <w:r w:rsidR="00A52C3C" w:rsidRPr="005E434B">
        <w:rPr>
          <w:rFonts w:hAnsi="Times New Roman" w:cs="Times New Roman"/>
          <w:b/>
          <w:bCs/>
          <w:u w:val="single"/>
        </w:rPr>
        <w:t>’</w:t>
      </w:r>
      <w:r w:rsidR="003A1903" w:rsidRPr="005E434B">
        <w:rPr>
          <w:rFonts w:hAnsi="Times New Roman" w:cs="Times New Roman"/>
          <w:b/>
          <w:bCs/>
          <w:u w:val="single"/>
        </w:rPr>
        <w:t>Estratto Conto</w:t>
      </w:r>
    </w:p>
    <w:p w14:paraId="3D0B9BFC" w14:textId="2F2379AE" w:rsidR="00B31C80" w:rsidRPr="005E434B" w:rsidRDefault="008125DC" w:rsidP="005E434B">
      <w:pPr>
        <w:spacing w:after="120" w:line="288" w:lineRule="auto"/>
        <w:rPr>
          <w:rFonts w:hAnsi="Times New Roman" w:cs="Times New Roman"/>
          <w:i/>
          <w:iCs/>
        </w:rPr>
      </w:pPr>
      <w:r w:rsidRPr="005E434B">
        <w:rPr>
          <w:rFonts w:hAnsi="Times New Roman" w:cs="Times New Roman"/>
          <w:i/>
          <w:iCs/>
        </w:rPr>
        <w:t xml:space="preserve">Accordo di Programma –paragrafo </w:t>
      </w:r>
      <w:r w:rsidR="00B31C80" w:rsidRPr="005E434B">
        <w:rPr>
          <w:rFonts w:hAnsi="Times New Roman" w:cs="Times New Roman"/>
          <w:i/>
          <w:iCs/>
        </w:rPr>
        <w:t>9.3</w:t>
      </w:r>
    </w:p>
    <w:p w14:paraId="18F253BF" w14:textId="12B16D82" w:rsidR="00B31C80" w:rsidRPr="005E434B" w:rsidRDefault="00B31C80" w:rsidP="005E434B">
      <w:pPr>
        <w:spacing w:after="120" w:line="288" w:lineRule="auto"/>
        <w:rPr>
          <w:rFonts w:hAnsi="Times New Roman" w:cs="Times New Roman"/>
          <w:i/>
          <w:iCs/>
          <w:color w:val="156082" w:themeColor="accent1"/>
          <w:shd w:val="clear" w:color="auto" w:fill="FFFFFF"/>
        </w:rPr>
      </w:pPr>
      <w:r w:rsidRPr="00B31C80">
        <w:rPr>
          <w:rFonts w:hAnsi="Times New Roman" w:cs="Times New Roman"/>
          <w:i/>
          <w:iCs/>
          <w:color w:val="156082" w:themeColor="accent1"/>
          <w:shd w:val="clear" w:color="auto" w:fill="FFFFFF"/>
        </w:rPr>
        <w:t xml:space="preserve">L’invio dei documenti contabili per l’incasso avrà un termine di esigibilità pari a 12 mesi a partire dalla data di pubblicazione dell’Estratto Conto sul sito del Centro di Coordinamento; la pubblicazione avrà cadenza trimestrale, </w:t>
      </w:r>
      <w:r w:rsidRPr="00B31C80">
        <w:rPr>
          <w:rFonts w:hAnsi="Times New Roman" w:cs="Times New Roman"/>
          <w:i/>
          <w:iCs/>
          <w:strike/>
          <w:color w:val="156082" w:themeColor="accent1"/>
          <w:shd w:val="clear" w:color="auto" w:fill="FFFFFF"/>
        </w:rPr>
        <w:t>con pubblicazione il primo giorno lavorativo del mese successivo al calcolo</w:t>
      </w:r>
      <w:r w:rsidRPr="00B31C80">
        <w:rPr>
          <w:rFonts w:hAnsi="Times New Roman" w:cs="Times New Roman"/>
          <w:i/>
          <w:iCs/>
          <w:color w:val="156082" w:themeColor="accent1"/>
          <w:shd w:val="clear" w:color="auto" w:fill="FFFFFF"/>
        </w:rPr>
        <w:t xml:space="preserve"> (30/04; 31/07; 31/10; 31/01). </w:t>
      </w:r>
    </w:p>
    <w:p w14:paraId="2289E90F" w14:textId="3BC2C754" w:rsidR="00B31C80" w:rsidRPr="005E434B" w:rsidRDefault="00AB0C54" w:rsidP="005E434B">
      <w:pPr>
        <w:spacing w:after="120" w:line="288" w:lineRule="auto"/>
        <w:rPr>
          <w:rFonts w:hAnsi="Times New Roman" w:cs="Times New Roman"/>
        </w:rPr>
      </w:pPr>
      <w:r w:rsidRPr="005E434B">
        <w:rPr>
          <w:rFonts w:hAnsi="Times New Roman" w:cs="Times New Roman"/>
        </w:rPr>
        <w:t xml:space="preserve">Si procede alla correzione del refuso, </w:t>
      </w:r>
      <w:r w:rsidR="00A52C3C" w:rsidRPr="005E434B">
        <w:rPr>
          <w:rFonts w:hAnsi="Times New Roman" w:cs="Times New Roman"/>
        </w:rPr>
        <w:t>per maggiore chiarezza sulle date di pubblicazione degli Estratti Conto</w:t>
      </w:r>
      <w:r w:rsidR="005E434B">
        <w:rPr>
          <w:rFonts w:hAnsi="Times New Roman" w:cs="Times New Roman"/>
        </w:rPr>
        <w:t>.</w:t>
      </w:r>
    </w:p>
    <w:p w14:paraId="290C563E" w14:textId="4632B656" w:rsidR="00B31C80" w:rsidRPr="00B31C80" w:rsidRDefault="00B31C80" w:rsidP="005E434B">
      <w:pPr>
        <w:spacing w:after="120" w:line="288" w:lineRule="auto"/>
        <w:rPr>
          <w:rFonts w:hAnsi="Times New Roman" w:cs="Times New Roman"/>
        </w:rPr>
      </w:pPr>
      <w:r w:rsidRPr="00B31C80">
        <w:rPr>
          <w:rFonts w:hAnsi="Times New Roman" w:cs="Times New Roman"/>
        </w:rPr>
        <w:t>NOTA BENE: per il 2025 eccezionalmente il primo estratto conto sarà pubblicato il 31.07, in concomitanza alla pubblicazione del secondo estratto conto</w:t>
      </w:r>
    </w:p>
    <w:p w14:paraId="1EC5FB7D" w14:textId="77777777" w:rsidR="00A52C3C" w:rsidRPr="005E434B" w:rsidRDefault="00A52C3C" w:rsidP="005E434B">
      <w:pPr>
        <w:spacing w:after="120" w:line="288" w:lineRule="auto"/>
        <w:rPr>
          <w:rFonts w:hAnsi="Times New Roman" w:cs="Times New Roman"/>
        </w:rPr>
      </w:pPr>
    </w:p>
    <w:p w14:paraId="54AA3CB2" w14:textId="2176CEE0" w:rsidR="00A52C3C" w:rsidRPr="005E434B" w:rsidRDefault="00A52C3C" w:rsidP="005E434B">
      <w:pPr>
        <w:spacing w:after="120" w:line="288" w:lineRule="auto"/>
        <w:rPr>
          <w:rFonts w:hAnsi="Times New Roman" w:cs="Times New Roman"/>
          <w:b/>
          <w:bCs/>
          <w:u w:val="single"/>
        </w:rPr>
      </w:pPr>
      <w:r w:rsidRPr="005E434B">
        <w:rPr>
          <w:rFonts w:hAnsi="Times New Roman" w:cs="Times New Roman"/>
          <w:b/>
          <w:bCs/>
          <w:u w:val="single"/>
        </w:rPr>
        <w:t>NOTA 2 – Chiarimento sul</w:t>
      </w:r>
      <w:r w:rsidR="00527667" w:rsidRPr="005E434B">
        <w:rPr>
          <w:rFonts w:hAnsi="Times New Roman" w:cs="Times New Roman"/>
          <w:b/>
          <w:bCs/>
          <w:u w:val="single"/>
        </w:rPr>
        <w:t xml:space="preserve"> periodo di calcolo per </w:t>
      </w:r>
      <w:r w:rsidR="008152AE" w:rsidRPr="005E434B">
        <w:rPr>
          <w:rFonts w:hAnsi="Times New Roman" w:cs="Times New Roman"/>
          <w:b/>
          <w:bCs/>
          <w:u w:val="single"/>
        </w:rPr>
        <w:t>la raccolta annuale</w:t>
      </w:r>
      <w:r w:rsidRPr="005E434B">
        <w:rPr>
          <w:rFonts w:hAnsi="Times New Roman" w:cs="Times New Roman"/>
          <w:b/>
          <w:bCs/>
          <w:u w:val="single"/>
        </w:rPr>
        <w:t xml:space="preserve"> data di pubblicazione dell’Estratto Conto</w:t>
      </w:r>
    </w:p>
    <w:p w14:paraId="3944586A" w14:textId="7F4F780B" w:rsidR="00A52C3C" w:rsidRPr="005E434B" w:rsidRDefault="00E67768" w:rsidP="005E434B">
      <w:pPr>
        <w:spacing w:after="120" w:line="288" w:lineRule="auto"/>
        <w:rPr>
          <w:rFonts w:hAnsi="Times New Roman" w:cs="Times New Roman"/>
          <w:i/>
          <w:iCs/>
        </w:rPr>
      </w:pPr>
      <w:r w:rsidRPr="005E434B">
        <w:rPr>
          <w:rFonts w:hAnsi="Times New Roman" w:cs="Times New Roman"/>
          <w:i/>
          <w:iCs/>
        </w:rPr>
        <w:t>Accordo di Programma –paragrafo 9.1</w:t>
      </w:r>
    </w:p>
    <w:p w14:paraId="51A08730" w14:textId="60F153D2" w:rsidR="00350A05" w:rsidRPr="005E434B" w:rsidRDefault="00B31C80" w:rsidP="005E434B">
      <w:pPr>
        <w:spacing w:after="120" w:line="288" w:lineRule="auto"/>
        <w:rPr>
          <w:rFonts w:hAnsi="Times New Roman" w:cs="Times New Roman"/>
          <w:i/>
          <w:iCs/>
          <w:color w:val="156082" w:themeColor="accent1"/>
          <w:shd w:val="clear" w:color="auto" w:fill="FFFFFF"/>
        </w:rPr>
      </w:pPr>
      <w:r w:rsidRPr="00B31C80">
        <w:rPr>
          <w:rFonts w:hAnsi="Times New Roman" w:cs="Times New Roman"/>
          <w:i/>
          <w:iCs/>
          <w:color w:val="156082" w:themeColor="accent1"/>
          <w:shd w:val="clear" w:color="auto" w:fill="FFFFFF"/>
        </w:rPr>
        <w:t>Nel caso di raggiungimento di una raccolta annuale (da gennaio a dicembre) da parte dei centri di raccolta di 300.000 tonnellate totali, fatti salvi i prerequisiti di cui al punto 8.4, i Sistemi dei Produttori riconosceranno ai Soggetti Beneficiari CU2 i seguenti Premi maggiorati di Efficienza per singolo carico ritirato in relazione alle tipologie di Raggruppamento interessate (Tabella C): […]</w:t>
      </w:r>
    </w:p>
    <w:p w14:paraId="500961D6" w14:textId="0E1CCA87" w:rsidR="00B31C80" w:rsidRPr="00B31C80" w:rsidRDefault="00B31C80" w:rsidP="005E434B">
      <w:pPr>
        <w:spacing w:after="120" w:line="288" w:lineRule="auto"/>
        <w:rPr>
          <w:rFonts w:hAnsi="Times New Roman" w:cs="Times New Roman"/>
        </w:rPr>
      </w:pPr>
      <w:r w:rsidRPr="00B31C80">
        <w:rPr>
          <w:rFonts w:hAnsi="Times New Roman" w:cs="Times New Roman"/>
        </w:rPr>
        <w:t>Per consentire l’applicabilit</w:t>
      </w:r>
      <w:r w:rsidR="008152AE" w:rsidRPr="005E434B">
        <w:rPr>
          <w:rFonts w:hAnsi="Times New Roman" w:cs="Times New Roman"/>
        </w:rPr>
        <w:t>à</w:t>
      </w:r>
      <w:r w:rsidRPr="00B31C80">
        <w:rPr>
          <w:rFonts w:hAnsi="Times New Roman" w:cs="Times New Roman"/>
        </w:rPr>
        <w:t xml:space="preserve"> dal </w:t>
      </w:r>
      <w:proofErr w:type="gramStart"/>
      <w:r w:rsidRPr="00B31C80">
        <w:rPr>
          <w:rFonts w:hAnsi="Times New Roman" w:cs="Times New Roman"/>
        </w:rPr>
        <w:t>1 gennaio</w:t>
      </w:r>
      <w:proofErr w:type="gramEnd"/>
      <w:r w:rsidRPr="00B31C80">
        <w:rPr>
          <w:rFonts w:hAnsi="Times New Roman" w:cs="Times New Roman"/>
        </w:rPr>
        <w:t xml:space="preserve">, </w:t>
      </w:r>
      <w:r w:rsidR="000C6E9F" w:rsidRPr="005E434B">
        <w:rPr>
          <w:rFonts w:hAnsi="Times New Roman" w:cs="Times New Roman"/>
        </w:rPr>
        <w:t xml:space="preserve">il periodo di calcolo non sarà da gennaio a dicembre, ma </w:t>
      </w:r>
      <w:r w:rsidR="005E434B" w:rsidRPr="005E434B">
        <w:rPr>
          <w:rFonts w:hAnsi="Times New Roman" w:cs="Times New Roman"/>
        </w:rPr>
        <w:t>lo stesso definito</w:t>
      </w:r>
      <w:r w:rsidRPr="00B31C80">
        <w:rPr>
          <w:rFonts w:hAnsi="Times New Roman" w:cs="Times New Roman"/>
        </w:rPr>
        <w:t xml:space="preserve"> per la classe: «La classe per l’anno “n” sa</w:t>
      </w:r>
      <w:r w:rsidR="005E434B" w:rsidRPr="005E434B">
        <w:rPr>
          <w:rFonts w:hAnsi="Times New Roman" w:cs="Times New Roman"/>
        </w:rPr>
        <w:t>rà</w:t>
      </w:r>
      <w:r w:rsidRPr="00B31C80">
        <w:rPr>
          <w:rFonts w:hAnsi="Times New Roman" w:cs="Times New Roman"/>
        </w:rPr>
        <w:t xml:space="preserve"> sempre calcolata sul periodo che va dal </w:t>
      </w:r>
      <w:proofErr w:type="gramStart"/>
      <w:r w:rsidRPr="00B31C80">
        <w:rPr>
          <w:rFonts w:hAnsi="Times New Roman" w:cs="Times New Roman"/>
        </w:rPr>
        <w:t>1 novembre</w:t>
      </w:r>
      <w:proofErr w:type="gramEnd"/>
      <w:r w:rsidRPr="00B31C80">
        <w:rPr>
          <w:rFonts w:hAnsi="Times New Roman" w:cs="Times New Roman"/>
        </w:rPr>
        <w:t xml:space="preserve"> dell’anno n-2 -fino al 31 ottobre dell’anno n-1». </w:t>
      </w:r>
    </w:p>
    <w:p w14:paraId="4910F872" w14:textId="77777777" w:rsidR="00B31C80" w:rsidRPr="005E434B" w:rsidRDefault="00B31C80" w:rsidP="005E434B">
      <w:pPr>
        <w:spacing w:after="120" w:line="288" w:lineRule="auto"/>
        <w:rPr>
          <w:rFonts w:hAnsi="Times New Roman" w:cs="Times New Roman"/>
        </w:rPr>
      </w:pPr>
    </w:p>
    <w:sectPr w:rsidR="00B31C80" w:rsidRPr="005E434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old">
    <w:altName w:val="Arial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A61"/>
    <w:rsid w:val="000C6E9F"/>
    <w:rsid w:val="00132715"/>
    <w:rsid w:val="00150D11"/>
    <w:rsid w:val="00156C76"/>
    <w:rsid w:val="002B4B84"/>
    <w:rsid w:val="002C32EE"/>
    <w:rsid w:val="00350A05"/>
    <w:rsid w:val="0037791B"/>
    <w:rsid w:val="00384A61"/>
    <w:rsid w:val="003A1903"/>
    <w:rsid w:val="003C444B"/>
    <w:rsid w:val="003F564C"/>
    <w:rsid w:val="00527667"/>
    <w:rsid w:val="005E22BE"/>
    <w:rsid w:val="005E434B"/>
    <w:rsid w:val="006D29B7"/>
    <w:rsid w:val="007B0B9E"/>
    <w:rsid w:val="008125DC"/>
    <w:rsid w:val="008152AE"/>
    <w:rsid w:val="00826CFB"/>
    <w:rsid w:val="00893BEA"/>
    <w:rsid w:val="008E5375"/>
    <w:rsid w:val="00A52C3C"/>
    <w:rsid w:val="00AB0C54"/>
    <w:rsid w:val="00AF57B5"/>
    <w:rsid w:val="00B31C80"/>
    <w:rsid w:val="00BE5BFE"/>
    <w:rsid w:val="00C0139D"/>
    <w:rsid w:val="00C04FB5"/>
    <w:rsid w:val="00C473BE"/>
    <w:rsid w:val="00CB59C3"/>
    <w:rsid w:val="00CC6950"/>
    <w:rsid w:val="00E67768"/>
    <w:rsid w:val="00F94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92691"/>
  <w15:chartTrackingRefBased/>
  <w15:docId w15:val="{A77C86EC-7E5C-435B-A677-7BD4363E8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rsid w:val="00384A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Arial Unicode MS" w:cs="Arial Unicode MS"/>
      <w:color w:val="000000"/>
      <w:kern w:val="0"/>
      <w:sz w:val="24"/>
      <w:szCs w:val="24"/>
      <w:u w:color="000000"/>
      <w:bdr w:val="nil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84A6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:lang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84A6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:lang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84A6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:lang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84A6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84A6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84A6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84A6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84A6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bdr w:val="none" w:sz="0" w:space="0" w:color="auto"/>
      <w:lang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84A6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bdr w:val="none" w:sz="0" w:space="0" w:color="auto"/>
      <w:lang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84A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84A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84A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84A6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84A6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84A6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84A6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84A6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84A6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84A6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bdr w:val="none" w:sz="0" w:space="0" w:color="auto"/>
      <w:lang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384A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84A61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lang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84A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84A6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bdr w:val="none" w:sz="0" w:space="0" w:color="auto"/>
      <w:lang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84A6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84A6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bdr w:val="none" w:sz="0" w:space="0" w:color="auto"/>
      <w:lang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384A6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84A61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bdr w:val="none" w:sz="0" w:space="0" w:color="auto"/>
      <w:lang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84A6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84A61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rsid w:val="00384A6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sz w:val="20"/>
      <w:szCs w:val="20"/>
      <w:bdr w:val="nil"/>
      <w:lang w:eastAsia="it-IT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736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34d5353-4d4d-40ae-afd0-8f8e0cf278da" xsi:nil="true"/>
    <lcf76f155ced4ddcb4097134ff3c332f xmlns="4ffcd23f-fabe-4697-a800-b91f003ea5fe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B0C7564CC744BA796A74AF10AFF40" ma:contentTypeVersion="16" ma:contentTypeDescription="Creare un nuovo documento." ma:contentTypeScope="" ma:versionID="0315eb16f4b78786c157335918b2e5cb">
  <xsd:schema xmlns:xsd="http://www.w3.org/2001/XMLSchema" xmlns:xs="http://www.w3.org/2001/XMLSchema" xmlns:p="http://schemas.microsoft.com/office/2006/metadata/properties" xmlns:ns2="4624533b-016e-4bda-815a-9e7f9f741294" xmlns:ns3="4ffcd23f-fabe-4697-a800-b91f003ea5fe" xmlns:ns4="e34d5353-4d4d-40ae-afd0-8f8e0cf278da" targetNamespace="http://schemas.microsoft.com/office/2006/metadata/properties" ma:root="true" ma:fieldsID="a33193a3fd1f44c00382b99ba0a1debf" ns2:_="" ns3:_="" ns4:_="">
    <xsd:import namespace="4624533b-016e-4bda-815a-9e7f9f741294"/>
    <xsd:import namespace="4ffcd23f-fabe-4697-a800-b91f003ea5fe"/>
    <xsd:import namespace="e34d5353-4d4d-40ae-afd0-8f8e0cf278d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EventHashCode" minOccurs="0"/>
                <xsd:element ref="ns3:MediaServiceGenerationTim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24533b-016e-4bda-815a-9e7f9f74129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cd23f-fabe-4697-a800-b91f003ea5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be2c596b-a525-421e-9fdb-2a03ad3753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4d5353-4d4d-40ae-afd0-8f8e0cf278d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21a6941e-c6d7-4347-92d4-0390212d3e6c}" ma:internalName="TaxCatchAll" ma:showField="CatchAllData" ma:web="e34d5353-4d4d-40ae-afd0-8f8e0cf278d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2663F2-57CA-4BC7-8D76-EB07F8E048B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5544CC1-0957-41A9-8053-3EB5C6029D66}">
  <ds:schemaRefs>
    <ds:schemaRef ds:uri="http://schemas.microsoft.com/office/2006/metadata/properties"/>
    <ds:schemaRef ds:uri="http://schemas.microsoft.com/office/infopath/2007/PartnerControls"/>
    <ds:schemaRef ds:uri="e34d5353-4d4d-40ae-afd0-8f8e0cf278da"/>
    <ds:schemaRef ds:uri="4ffcd23f-fabe-4697-a800-b91f003ea5fe"/>
  </ds:schemaRefs>
</ds:datastoreItem>
</file>

<file path=customXml/itemProps3.xml><?xml version="1.0" encoding="utf-8"?>
<ds:datastoreItem xmlns:ds="http://schemas.openxmlformats.org/officeDocument/2006/customXml" ds:itemID="{DB501BE1-E199-4703-84FA-FCA39B1DF86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C6CA70C-F215-4DAC-9E47-C07B76CD44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24533b-016e-4bda-815a-9e7f9f741294"/>
    <ds:schemaRef ds:uri="4ffcd23f-fabe-4697-a800-b91f003ea5fe"/>
    <ds:schemaRef ds:uri="e34d5353-4d4d-40ae-afd0-8f8e0cf278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275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Mussetta</dc:creator>
  <cp:keywords/>
  <dc:description/>
  <cp:lastModifiedBy>Sara Mussetta</cp:lastModifiedBy>
  <cp:revision>19</cp:revision>
  <dcterms:created xsi:type="dcterms:W3CDTF">2025-06-09T09:49:00Z</dcterms:created>
  <dcterms:modified xsi:type="dcterms:W3CDTF">2025-06-10T12:27:00Z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0x010100B63B0C7564CC744BA796A74AF10AFF40</vt:lpwstr>
  </property>
  <property fmtid="{D5CDD505-2E9C-101B-9397-08002B2CF9AE}" pid="3" name="MediaServiceImageTags">
    <vt:lpwstr/>
  </property>
</Properties>
</file>